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Panda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Project:</w:t>
        <w:tab/>
        <w:t xml:space="preserve">Felt “Me” Dolls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Felt, 1/16” hole punch, erasable markers,</w:t>
        <w:br w:type="textWrapping"/>
        <w:t xml:space="preserve">assorted fabric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Dolls: (34) cut and punched pieces (for 17 dolls)</w:t>
        <w:br w:type="textWrapping"/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Dolls: Cut out (17) dolls according to the pattern </w:t>
        <w:br w:type="textWrapping"/>
        <w:t xml:space="preserve">(2 pieces per doll).  Mark small holes onto the felt with the erasable marker using the pattern as a template.  Punch holes with the hole punch.  The children will be sewing the dolls together with yarn, so the positioning and spacing of the holes needs to be consistent.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to the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 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sample, unused materials and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